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2FB4DD73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64507">
        <w:rPr>
          <w:rFonts w:ascii="Corbel" w:hAnsi="Corbel"/>
          <w:i/>
          <w:smallCaps/>
          <w:sz w:val="24"/>
          <w:szCs w:val="24"/>
        </w:rPr>
        <w:t>2019-2022</w:t>
      </w:r>
    </w:p>
    <w:p w14:paraId="370136D6" w14:textId="4D7076C8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C64507">
        <w:rPr>
          <w:rFonts w:ascii="Corbel" w:hAnsi="Corbel"/>
          <w:sz w:val="20"/>
          <w:szCs w:val="20"/>
        </w:rPr>
        <w:t>0/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C64507">
        <w:rPr>
          <w:rFonts w:ascii="Corbel" w:hAnsi="Corbel"/>
          <w:sz w:val="20"/>
          <w:szCs w:val="20"/>
        </w:rPr>
        <w:t>1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77777777" w:rsidR="0085747A" w:rsidRPr="009C54AE" w:rsidRDefault="0017512A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1A209A29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F9C43E" w14:textId="77777777" w:rsidTr="005E6E85">
        <w:tc>
          <w:tcPr>
            <w:tcW w:w="1701" w:type="dxa"/>
          </w:tcPr>
          <w:p w14:paraId="592F33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D8B968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0EBF">
              <w:rPr>
                <w:rFonts w:ascii="Corbel" w:hAnsi="Corbel"/>
                <w:sz w:val="24"/>
                <w:szCs w:val="24"/>
              </w:rPr>
              <w:t>istotę procesów globalizacji w kontekście  realizacji efektywnych działań  marketingowych   i doskonalenia metod zarządzania marketingowego, jak również  odpowiednie metody analizy i prezentacji danych  rynkowych</w:t>
            </w:r>
          </w:p>
        </w:tc>
        <w:tc>
          <w:tcPr>
            <w:tcW w:w="1873" w:type="dxa"/>
          </w:tcPr>
          <w:p w14:paraId="791EC876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K_W02</w:t>
            </w:r>
          </w:p>
          <w:p w14:paraId="4F4D8BD2" w14:textId="669F77E9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7777777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324C0A47" w14:textId="77777777" w:rsidTr="005E6E85">
        <w:tc>
          <w:tcPr>
            <w:tcW w:w="1701" w:type="dxa"/>
          </w:tcPr>
          <w:p w14:paraId="5139E8E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A7B311" w14:textId="77777777" w:rsidR="001F4FDF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analizować zjawiska, ich uwarunkowania oraz procesy zachodzące w oddziaływaniu  podmiotów gospodarczych na klientów, potrafi  analizować przyczyny i oceniać przebieg tych zjawisk w warunkach nie w pełni przewidywalnych</w:t>
            </w:r>
          </w:p>
        </w:tc>
        <w:tc>
          <w:tcPr>
            <w:tcW w:w="1873" w:type="dxa"/>
          </w:tcPr>
          <w:p w14:paraId="2F77C678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K_U01</w:t>
            </w:r>
          </w:p>
          <w:p w14:paraId="7D8D56E8" w14:textId="6D9C3ECF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makrootoczeniu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kryteria podziału konsumentów – ich  cechy  i zachowania rynkowe.</w:t>
            </w:r>
          </w:p>
          <w:p w14:paraId="5459A8A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Segmentacja, wybór rynku docelowego i metody jego analizy:</w:t>
            </w:r>
          </w:p>
          <w:p w14:paraId="0EA8BC1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istota, procedura i znaczenie segmentacji,</w:t>
            </w:r>
          </w:p>
          <w:p w14:paraId="7A4527AE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wybór rynku docelowego,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77777777" w:rsidR="00FC09B2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FC09B2" w:rsidRPr="00144382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77777777" w:rsidR="00FC09B2" w:rsidRPr="008F2B81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Corbel" w:hAnsi="Corbel"/>
                <w:sz w:val="24"/>
                <w:szCs w:val="24"/>
              </w:rPr>
              <w:lastRenderedPageBreak/>
              <w:t>-analiza</w:t>
            </w:r>
            <w:r w:rsidR="008F2B81" w:rsidRPr="008F2B81">
              <w:rPr>
                <w:rFonts w:ascii="Corbel" w:hAnsi="Corbel"/>
                <w:sz w:val="24"/>
                <w:szCs w:val="24"/>
              </w:rPr>
              <w:t xml:space="preserve"> otoczenia organizacji wspomagająca wybór  obszaru, branży  i profilu  działania,  </w:t>
            </w:r>
          </w:p>
          <w:p w14:paraId="00CBBA70" w14:textId="77777777" w:rsidR="008F2B81" w:rsidRPr="008F2B81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Times New Roman" w:hAnsi="Times New Roman"/>
                <w:sz w:val="24"/>
                <w:szCs w:val="24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144382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0F17008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</w:t>
            </w:r>
            <w:r w:rsidR="00FC09B2" w:rsidRPr="00144382">
              <w:rPr>
                <w:rFonts w:ascii="Corbel" w:hAnsi="Corbel"/>
              </w:rPr>
              <w:t xml:space="preserve">Segmentacja i wybór rynku docelowego (na przykładach):  zastosowanie różnych kryteriów segmentacji dla różnych typów produktów, tworzenie segmentów rynkowych, profil docelowego klienta </w:t>
            </w:r>
            <w:r w:rsidR="008F2B81">
              <w:rPr>
                <w:rFonts w:ascii="Corbel" w:hAnsi="Corbel"/>
              </w:rPr>
              <w:t xml:space="preserve"> a jego oczekiwania </w:t>
            </w:r>
            <w:r w:rsidR="00FC09B2" w:rsidRPr="00144382">
              <w:rPr>
                <w:rFonts w:ascii="Corbel" w:hAnsi="Corbel"/>
              </w:rPr>
              <w:t xml:space="preserve"> - analiza postaw i zachowań</w:t>
            </w:r>
          </w:p>
          <w:p w14:paraId="6963A7F3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 w:rsidR="00FC09B2" w:rsidRPr="00144382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pozycjonowanie produktu, </w:t>
            </w:r>
          </w:p>
          <w:p w14:paraId="3BA9F938" w14:textId="77777777" w:rsidR="008F2B81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 w:rsidR="00FC09B2" w:rsidRPr="00144382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2DBFFAE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FC09B2" w:rsidRPr="00144382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</w:t>
            </w:r>
            <w:r w:rsidR="00FC09B2" w:rsidRPr="00144382">
              <w:rPr>
                <w:rFonts w:ascii="Corbel" w:hAnsi="Corbel"/>
              </w:rPr>
              <w:t>Kształtowanie strategii promocyjnej (na przykładach):</w:t>
            </w:r>
            <w:r w:rsidR="00FC09B2"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 opracowanie sloganu reklamowego,  badanie skuteczności i efektywności działań promocyjnych.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r w:rsidR="00305760" w:rsidRPr="001C51C5">
        <w:rPr>
          <w:rFonts w:ascii="Corbel" w:hAnsi="Corbel"/>
        </w:rPr>
        <w:t xml:space="preserve">case study,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5760" w:rsidRPr="009C54AE" w14:paraId="7E6A9548" w14:textId="77777777" w:rsidTr="00C05F44">
        <w:tc>
          <w:tcPr>
            <w:tcW w:w="1985" w:type="dxa"/>
          </w:tcPr>
          <w:p w14:paraId="545C1D73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CE2B70A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6951F3E6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case study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05760" w:rsidRPr="009C54AE" w14:paraId="133A1796" w14:textId="77777777" w:rsidTr="00C05F44">
        <w:tc>
          <w:tcPr>
            <w:tcW w:w="1985" w:type="dxa"/>
          </w:tcPr>
          <w:p w14:paraId="68834B3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7777777" w:rsidR="00305760" w:rsidRPr="001C51C5" w:rsidRDefault="001C51C5" w:rsidP="00305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case study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="00305760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</w:t>
            </w:r>
          </w:p>
        </w:tc>
        <w:tc>
          <w:tcPr>
            <w:tcW w:w="2126" w:type="dxa"/>
          </w:tcPr>
          <w:p w14:paraId="12A9B2B9" w14:textId="4EAE5F7E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 xml:space="preserve">oraz prezentowania praktycznych </w:t>
            </w:r>
            <w:r w:rsidR="00D70FDD">
              <w:rPr>
                <w:rFonts w:ascii="Corbel" w:hAnsi="Corbel"/>
              </w:rPr>
              <w:lastRenderedPageBreak/>
              <w:t>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7777777" w:rsidR="00C61DC5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F80A819" w14:textId="77777777" w:rsidR="00EF282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A. 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R.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Niestrój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Kuźniar W., Surmacz T, Szopiński W. 2017. Wirtualizacja konsumpcji i jej oddziaływanie na kształtowanie postaw i zachowań prosumpcyjnych wśród młodych konsumentów, Annales Universitatis Mariae Curie-Skłodowska, Sectio H Oeconomia,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D399B" w14:textId="77777777" w:rsidR="0017781B" w:rsidRDefault="0017781B" w:rsidP="00C16ABF">
      <w:pPr>
        <w:spacing w:after="0" w:line="240" w:lineRule="auto"/>
      </w:pPr>
      <w:r>
        <w:separator/>
      </w:r>
    </w:p>
  </w:endnote>
  <w:endnote w:type="continuationSeparator" w:id="0">
    <w:p w14:paraId="77F357AD" w14:textId="77777777" w:rsidR="0017781B" w:rsidRDefault="001778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B42ED" w14:textId="77777777" w:rsidR="0017781B" w:rsidRDefault="0017781B" w:rsidP="00C16ABF">
      <w:pPr>
        <w:spacing w:after="0" w:line="240" w:lineRule="auto"/>
      </w:pPr>
      <w:r>
        <w:separator/>
      </w:r>
    </w:p>
  </w:footnote>
  <w:footnote w:type="continuationSeparator" w:id="0">
    <w:p w14:paraId="64C9FD65" w14:textId="77777777" w:rsidR="0017781B" w:rsidRDefault="0017781B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1B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507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BC8A70-799B-4F7C-8936-831E479CE7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CF418-9DC0-4DB2-BE85-717AC1CD5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1400</Words>
  <Characters>8404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2020-10-22T21:56:00Z</dcterms:created>
  <dcterms:modified xsi:type="dcterms:W3CDTF">2020-12-09T12:15:00Z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